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5"/>
        <w:gridCol w:w="1320"/>
        <w:gridCol w:w="3690"/>
        <w:gridCol w:w="3270"/>
        <w:tblGridChange w:id="0">
          <w:tblGrid>
            <w:gridCol w:w="1815"/>
            <w:gridCol w:w="1320"/>
            <w:gridCol w:w="3690"/>
            <w:gridCol w:w="327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this record is associated with (taken from the LegacyClientId field of the Clients table)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ClientPrimaryAlcoholDrugProblem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“XCAClientPrimary”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7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PleaseSpecify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Free text field if specification is required (Global Code ID for other is used above)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B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DaysClientUsedDrugs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“XUDDays”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DaysClientUsedDrugsCheck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ClientPrimaryDrugAbuse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This if for selecting the route of drug abuse. 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“XCASUDPrimaryDrug”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ClientSecondaryDrugProblem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“XCAClientPrimary”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ClientSecondaryDrugProblemText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Free text field if specification is required. (Global Code ID for other is used above)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0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DaysClientUsedSecondaryDrugs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“XUDDays”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ClientSecoundaryDrugAbuse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This if for selecting the route of drug abuse. </w:t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“XCASUDPrimaryDrug”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9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DaysClientUsedAlcohol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“XUDDays”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D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DaysClientUsedNeedlesToInjectDrug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0-30, 99900 (Client declined to state), OR 99904 (client unable to answer) are accepted.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1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DaysClientUsedNeedlesToInjectDrugCheck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5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DaysSocialSupportRecoveryActivities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0-30 are accepted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9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DaysClientLivesWithAlcoholUser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0-30, 99900 (Client declined to state), OR 99904 (Client unable to answer) are accepted.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D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DaysClientLivesWithAlcoholUserCheck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1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HasClientDiagnosisMentalillness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Not sure/Don’t’ know, reporting 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9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TimesClientReceivedOutpatientEmergency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 </w:t>
            </w:r>
          </w:p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0-99</w:t>
            </w:r>
          </w:p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–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TimesClientReceivedOutpatientEmergencyCheck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DaysClientStayedInHospital24hours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 0-99 OR 99904 (unable to answer)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DaysClientStayedInHospital24hoursCheck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ClientTakenPrescribedMedication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Not sure/Don’t’ know, reporting 99901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TimesClientVisitedEmergencyRoom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0-99 OR 99904 (client unable to answer) are accepted.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9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TimesClientVisitedEmergencyRoomCheck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D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DaysClientStayedOvernight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</w:t>
            </w:r>
          </w:p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0-30 OR 99904 (Client unable to answer) accepted.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DaysClientStayedOverNightCheck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DaysClientExperiencedPhysicalProblems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0-30 or 99904 (client unable to answer) accepted.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B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DaysClientExperiencedPhysicalProblemsCheck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TypeOfDisabilityClientHave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reported from this field.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ClientTestedHIVOrAIDS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The client has declined to state, reporting 99900</w:t>
            </w:r>
          </w:p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 = The client is unable to answer, reporting 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RestForHIVOrAidsTest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The client has declined to state, reporting 99900</w:t>
            </w:r>
          </w:p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 = The client is unable to answer, reporting 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DaysClientUsedPrimaryDrugs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CalMHSA Counties do not use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9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NoOfDaysClientUsedAlcohol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CalMHSA Counties do not use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D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NoOfDaysClientUsedAlcoholUnable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CalMHSA Counties do not use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2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NoOfDaysClientUsedAlcoholDeclined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CalMHSA Counties do not use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NoOfDaysClientUsedNeedlesToInjectDrug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CalMHSA Counties do not use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9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NoOfDaysClientUsedNeedlesToInjectDrugUnable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CalMHSA Counties do not use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D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NoOfDaysClientUsedNeedlesToInjectDrugDeclined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CalMHSA Counties do not use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2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NoOfDaysClientLivesWithAlcoholUserDeclined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CalMHSA Counties do not use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NoOfDaysClientLivesWithAlcoholUserUnabled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CalMHSA Counties do not use</w:t>
            </w:r>
          </w:p>
        </w:tc>
      </w:tr>
    </w:tbl>
    <w:p w:rsidR="00000000" w:rsidDel="00000000" w:rsidP="00000000" w:rsidRDefault="00000000" w:rsidRPr="00000000" w14:paraId="000000D9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E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Setup_Data_DocumentCaliforniaUpdateDischargeSUDMedicals</w:t>
    </w:r>
  </w:p>
  <w:p w:rsidR="00000000" w:rsidDel="00000000" w:rsidP="00000000" w:rsidRDefault="00000000" w:rsidRPr="00000000" w14:paraId="000000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768"/>
      <w:gridCol w:w="1350"/>
      <w:gridCol w:w="3690"/>
      <w:gridCol w:w="3272"/>
      <w:tblGridChange w:id="0">
        <w:tblGrid>
          <w:gridCol w:w="1768"/>
          <w:gridCol w:w="1350"/>
          <w:gridCol w:w="3690"/>
          <w:gridCol w:w="3272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E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E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E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E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E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C84446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0C1D"/>
  </w:style>
  <w:style w:type="paragraph" w:styleId="Footer">
    <w:name w:val="footer"/>
    <w:basedOn w:val="Normal"/>
    <w:link w:val="FooterChar"/>
    <w:uiPriority w:val="99"/>
    <w:unhideWhenUsed w:val="1"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0C1D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55E0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55E0C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xXRjR2pTm1VsQvYd3ml2p2Moww==">CgMxLjAyCGguZ2pkZ3hzMghoLmdqZGd4czIJaC4zMGowemxsMgloLjFmb2I5dGUyCWguM3pueXNoNzIJaC4yZXQ5MnAwOAByITFmUU5VTWcwaVpLR0JtSzdWYVlEbnU2bjBiNXp4b081SQ==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2022-10-04T18:19:00Z</dcterms:created>
  <dc:creator>Jesse Walz</dc:creator>
</cp:coreProperties>
</file>