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50"/>
        <w:gridCol w:w="2613"/>
        <w:tblGridChange w:id="0">
          <w:tblGrid>
            <w:gridCol w:w="3015"/>
            <w:gridCol w:w="1305"/>
            <w:gridCol w:w="3150"/>
            <w:gridCol w:w="2613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02">
            <w:pPr>
              <w:rPr>
                <w:sz w:val="2"/>
                <w:szCs w:val="2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03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04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05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LegacyDocumentCaliforniaDisabilityId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Unique Identifier for this table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00000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00000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0D">
            <w:pPr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Numeric(6)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County Code+Facility ID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(should match the ProviderId in DocumentCalOMSOutsideProviderAdmissions for the same CalOMS record)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00000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00000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00000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000000" w:space="0" w:sz="8" w:val="single"/>
              <w:right w:color="808080" w:space="0" w:sz="8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the original record date being imported was authored (should match the effective date entered in DocumentCalOMSOutsideProviderAdmissions for the same CalOMS record)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DisabilityId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CalOMS, CalOMS Outside Provider Admissions and CalOMS OutsideProvider Update/Discharge.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“XCASUDDisability”</w:t>
              <w:br w:type="textWrapping"/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If Disability is None (1), 99900, or 99904, multiple values are not allowed.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The ‘Client unable to answer’ (99904) value is only allowed if Type of Service is 3, 4, or 5 (a detox service).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FSN is Episode number found in corresponding TEDSEpisodes template. FSN's are unique across clients in a County.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(SA)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01/30/2023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Add Notes and label for IN SCOPE and OUT SCOPE Columns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Roderick Watkins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2/7/2023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Review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Chithdra Kin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2/7/2023</w:t>
            </w:r>
          </w:p>
        </w:tc>
      </w:tr>
    </w:tbl>
    <w:p w:rsidR="00000000" w:rsidDel="00000000" w:rsidP="00000000" w:rsidRDefault="00000000" w:rsidRPr="00000000" w14:paraId="0000004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Setup_Data_DocumentCaliforniaCalOMSStandaloneTypeDisability</w:t>
    </w:r>
  </w:p>
  <w:p w:rsidR="00000000" w:rsidDel="00000000" w:rsidP="00000000" w:rsidRDefault="00000000" w:rsidRPr="00000000" w14:paraId="00000050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NOTE: IN SCOPE refers to the minimum reporting requirements for migration. 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Anything defined as NOT IN SCOPE will need to be estimated and have additional cost if migration is desired.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Only complete the columns that are IN SCOPE and/or what you plan to pay for NOT IN SCOPE.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spacing w:after="0" w:line="240" w:lineRule="auto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NOT IN SCOPE required = Y only applies if you are paying to migrate the not in scope items.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5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5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5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46463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DymZ2xfJ8pe1/9BJMW8sjOIDbQ==">CgMxLjAyCGguZ2pkZ3hzMgloLjMwajB6bGw4AHIhMXl5alNzQktJR0JKXzV4WFhFZnpMN2JwMGpmelJHSFpk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2024-04-24T14:42:00Z</dcterms:created>
  <dc:creator>Jacob Baize</dc:creator>
</cp:coreProperties>
</file>